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О внесении изменений в законодательство об образовании</w:t>
      </w:r>
    </w:p>
    <w:bookmarkEnd w:id="0"/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С 01.01.2026 в соответствии с Федеральным законом от 28.11.2025 №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441-</w:t>
      </w:r>
      <w:r>
        <w:rPr>
          <w:rFonts w:ascii="TimesNewRomanPSMT" w:hAnsi="TimesNewRomanPSMT" w:cs="TimesNewRomanPSMT"/>
          <w:color w:val="333333"/>
          <w:sz w:val="28"/>
          <w:szCs w:val="28"/>
        </w:rPr>
        <w:t>ФЗ «О в несении изменений в Федеральный закон «Об образовании в Российской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Федерации» девятиклассники, не прошедшие государственную итоговую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аттестацию, смогут получить профессиональное образование.</w:t>
      </w: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С учетом изменений, органы государственной власти субъектов РФ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наделены правом на предоставление государственной поддержки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профессионального обучения по программам профессиональной подготовки по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профессиям рабочих, должностям служащих лицам, получившим на ГИА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(государственной итоговой аттестации) по образовательным программам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основного общего образования неудовлетворительные результаты или не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прошедшим ГИА в установленные сроки.</w:t>
      </w: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Органы государственной власти субъектов Российской Федерации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определят перечень профессий, по которым осуществляется профессиональное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обучение указанных лиц, а также перечень образовательных организаций, в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которых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будет проводиться профессиональное обучение и порядок его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проведения.</w:t>
      </w: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</w:p>
    <w:p w:rsid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Минпросвещения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и </w:t>
      </w:r>
      <w:proofErr w:type="spellStart"/>
      <w:r>
        <w:rPr>
          <w:rFonts w:ascii="TimesNewRomanPSMT" w:hAnsi="TimesNewRomanPSMT" w:cs="TimesNewRomanPSMT"/>
          <w:color w:val="333333"/>
          <w:sz w:val="28"/>
          <w:szCs w:val="28"/>
        </w:rPr>
        <w:t>Рособрнадзор</w:t>
      </w:r>
      <w:proofErr w:type="spellEnd"/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установят перечень обязательных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учебных предметов, по которым проводится государственная итоговая аттестация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по образовательным программам основного общего образования лиц, освоивших</w:t>
      </w:r>
    </w:p>
    <w:p w:rsidR="003A35AC" w:rsidRPr="002C7BC7" w:rsidRDefault="002C7BC7" w:rsidP="002C7B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333333"/>
          <w:sz w:val="28"/>
          <w:szCs w:val="28"/>
        </w:rPr>
      </w:pPr>
      <w:r>
        <w:rPr>
          <w:rFonts w:ascii="TimesNewRomanPSMT" w:hAnsi="TimesNewRomanPSMT" w:cs="TimesNewRomanPSMT"/>
          <w:color w:val="333333"/>
          <w:sz w:val="28"/>
          <w:szCs w:val="28"/>
        </w:rPr>
        <w:t>программы профессиональной подготовки за счет средств государственной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поддержки региональных бюджетов либо за счет средств физических или</w:t>
      </w:r>
      <w:r>
        <w:rPr>
          <w:rFonts w:ascii="TimesNewRomanPSMT" w:hAnsi="TimesNewRomanPSMT" w:cs="TimesNewRomanPSMT"/>
          <w:color w:val="333333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333333"/>
          <w:sz w:val="28"/>
          <w:szCs w:val="28"/>
        </w:rPr>
        <w:t>юридических лиц.</w:t>
      </w:r>
    </w:p>
    <w:sectPr w:rsidR="003A35AC" w:rsidRPr="002C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AF"/>
    <w:rsid w:val="002C7BC7"/>
    <w:rsid w:val="003A35AC"/>
    <w:rsid w:val="004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8543"/>
  <w15:chartTrackingRefBased/>
  <w15:docId w15:val="{2346AB2F-6C72-46A2-AE77-42A7419C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2026-04-06T08:32:00Z</dcterms:created>
  <dcterms:modified xsi:type="dcterms:W3CDTF">2026-04-06T08:34:00Z</dcterms:modified>
</cp:coreProperties>
</file>